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#101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bis</w:t>
      </w:r>
      <w:r>
        <w:rPr>
          <w:rFonts w:ascii="Arial" w:hAnsi="Arial" w:eastAsia="宋体" w:cs="Arial"/>
          <w:b/>
          <w:sz w:val="24"/>
          <w:lang w:eastAsia="zh-CN"/>
        </w:rPr>
        <w:t>-e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</w:t>
      </w:r>
      <w:r>
        <w:rPr>
          <w:rFonts w:hint="eastAsia" w:ascii="Arial" w:hAnsi="Arial"/>
          <w:b/>
          <w:sz w:val="24"/>
          <w:lang w:val="en-US" w:eastAsia="zh-CN"/>
        </w:rPr>
        <w:t>200582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/>
          <w:b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hint="eastAsia" w:ascii="Arial" w:hAnsi="Arial" w:eastAsia="宋体"/>
          <w:b/>
          <w:sz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hint="eastAsia" w:ascii="Arial" w:hAnsi="Arial" w:eastAsia="宋体"/>
          <w:b/>
          <w:sz w:val="24"/>
          <w:lang w:val="en-US" w:eastAsia="zh-CN"/>
        </w:rPr>
        <w:t>Jan</w:t>
      </w:r>
      <w:r>
        <w:rPr>
          <w:rFonts w:ascii="Arial" w:hAnsi="Arial" w:eastAsia="宋体"/>
          <w:b/>
          <w:sz w:val="24"/>
          <w:lang w:eastAsia="zh-CN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hint="eastAsia" w:eastAsia="宋体"/>
          <w:sz w:val="24"/>
          <w:lang w:val="en-US" w:eastAsia="zh-CN"/>
        </w:rPr>
        <w:t>Discussion on RX beam number for HST FR2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6.9.4.2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 xml:space="preserve">In </w:t>
      </w:r>
      <w:r>
        <w:rPr>
          <w:rFonts w:hint="eastAsia" w:eastAsia="宋体"/>
          <w:szCs w:val="20"/>
          <w:lang w:val="en-US" w:eastAsia="zh-CN"/>
        </w:rPr>
        <w:t>the last meeting, a way forward on RRM NR FR2 HST was approved in [1]: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Requirements for Scenario-A and Scenario-B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</w:rPr>
            </w:pPr>
            <w:r>
              <w:rPr>
                <w:rFonts w:eastAsia="Yu Mincho"/>
                <w:b/>
                <w:highlight w:val="green"/>
              </w:rPr>
              <w:t>GtW agreements:</w:t>
            </w:r>
          </w:p>
          <w:p>
            <w:pPr>
              <w:pStyle w:val="27"/>
              <w:numPr>
                <w:ilvl w:val="0"/>
                <w:numId w:val="4"/>
              </w:numPr>
              <w:overflowPunct/>
              <w:autoSpaceDE/>
              <w:adjustRightInd/>
              <w:spacing w:after="120"/>
              <w:ind w:left="644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Define only two sets of enhanced RRM requirements in terms of number of RX beams (i.e. RX beam sweeping scaling factor) per UE</w:t>
            </w:r>
          </w:p>
          <w:p>
            <w:pPr>
              <w:pStyle w:val="27"/>
              <w:numPr>
                <w:ilvl w:val="1"/>
                <w:numId w:val="4"/>
              </w:numPr>
              <w:spacing w:after="120"/>
              <w:ind w:left="1364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Set 1: 2 RX beams</w:t>
            </w:r>
          </w:p>
          <w:p>
            <w:pPr>
              <w:pStyle w:val="27"/>
              <w:numPr>
                <w:ilvl w:val="1"/>
                <w:numId w:val="4"/>
              </w:numPr>
              <w:spacing w:after="120"/>
              <w:ind w:left="1364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Set 2: 6 RX beams</w:t>
            </w:r>
          </w:p>
          <w:p>
            <w:pPr>
              <w:pStyle w:val="27"/>
              <w:numPr>
                <w:ilvl w:val="0"/>
                <w:numId w:val="4"/>
              </w:numPr>
              <w:overflowPunct/>
              <w:autoSpaceDE/>
              <w:adjustRightInd/>
              <w:spacing w:after="120"/>
              <w:ind w:left="644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Introduce network signalling to configure UE to follow either Set 1 or Set 2 RRM requirements</w:t>
            </w:r>
          </w:p>
          <w:p>
            <w:r>
              <w:t>Note: the applicability of Set 1/2 requirements to the FR2 HST scenarios will be captured in the TR</w:t>
            </w:r>
          </w:p>
          <w:p/>
          <w:p>
            <w:pPr>
              <w:rPr>
                <w:b/>
                <w:bCs/>
                <w:lang w:val="en-US" w:eastAsia="zh-CN"/>
              </w:rPr>
            </w:pPr>
            <w:bookmarkStart w:id="0" w:name="OLE_LINK8"/>
            <w:r>
              <w:rPr>
                <w:b/>
                <w:bCs/>
                <w:lang w:val="en-US" w:eastAsia="zh-CN"/>
              </w:rPr>
              <w:t>RRM requirements for uni-directional and bi-directional deployments</w:t>
            </w:r>
          </w:p>
          <w:bookmarkEnd w:id="0"/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lang w:val="en-US"/>
              </w:rPr>
            </w:pPr>
            <w:r>
              <w:rPr>
                <w:rFonts w:eastAsia="Yu Mincho"/>
                <w:b/>
                <w:highlight w:val="green"/>
                <w:lang w:val="en-US"/>
              </w:rPr>
              <w:t>Agreements:</w:t>
            </w:r>
          </w:p>
          <w:p>
            <w:pPr>
              <w:pStyle w:val="27"/>
              <w:spacing w:line="256" w:lineRule="auto"/>
              <w:ind w:firstLine="0" w:firstLineChars="0"/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val="en-US" w:eastAsia="en-US" w:bidi="ar-SA"/>
              </w:rPr>
              <w:t>No separate requirements for uni-/bi-directional deployments are needed.</w:t>
            </w:r>
          </w:p>
          <w:p>
            <w:pPr>
              <w:pStyle w:val="27"/>
              <w:spacing w:line="256" w:lineRule="auto"/>
              <w:ind w:firstLine="0" w:firstLineChars="0"/>
              <w:rPr>
                <w:rFonts w:eastAsia="Yu Mincho"/>
                <w:bCs/>
                <w:lang w:val="en-US"/>
              </w:rPr>
            </w:pPr>
          </w:p>
          <w:p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Scenario B: </w:t>
            </w:r>
            <w:r>
              <w:rPr>
                <w:b/>
                <w:bCs/>
                <w:lang w:val="en-US" w:eastAsia="zh-CN"/>
              </w:rPr>
              <w:t>Requirements for RRH deployment on both sides of the track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lang w:val="en-US"/>
              </w:rPr>
            </w:pPr>
            <w:r>
              <w:rPr>
                <w:rFonts w:eastAsia="Yu Mincho"/>
                <w:b/>
                <w:highlight w:val="green"/>
                <w:lang w:val="en-US"/>
              </w:rPr>
              <w:t>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val="en-US" w:eastAsia="zh-CN" w:bidi="ar-SA"/>
              </w:rPr>
              <w:t>Consideration of RRH positions at one/both sides of rail track doesn’t have impact on 6Rx beams agreement in Scenario B (set 2)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iCs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lang w:val="en-US" w:eastAsia="zh-CN"/>
              </w:rPr>
              <w:t>Way forward:</w:t>
            </w:r>
          </w:p>
          <w:p>
            <w:pPr>
              <w:pStyle w:val="27"/>
              <w:spacing w:line="256" w:lineRule="auto"/>
              <w:ind w:firstLine="0" w:firstLineChars="0"/>
              <w:rPr>
                <w:rFonts w:eastAsiaTheme="minorEastAsia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val="en-US" w:eastAsia="zh-CN" w:bidi="ar-SA"/>
              </w:rPr>
              <w:t>FFS, whether it is necessary and how to address scenario-B (Set 2) with two-side RRH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document, we provide some analysis focus on the following remaining open issues about RX sweep beam number:</w:t>
      </w:r>
    </w:p>
    <w:p>
      <w:pPr>
        <w:pStyle w:val="3"/>
        <w:numPr>
          <w:ilvl w:val="0"/>
          <w:numId w:val="5"/>
        </w:numPr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Applicability of Scenario A requirements</w:t>
      </w:r>
    </w:p>
    <w:p>
      <w:pPr>
        <w:pStyle w:val="3"/>
        <w:numPr>
          <w:ilvl w:val="0"/>
          <w:numId w:val="5"/>
        </w:numPr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Impact of RRH position at one/both sides of rail track for Scenario B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4"/>
        <w:rPr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2.1 Applicability of Scenario A requirements</w:t>
      </w:r>
    </w:p>
    <w:p>
      <w:pPr>
        <w:pStyle w:val="3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this issue, the following two candidate options were discussed during 101-e meeting.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numPr>
                <w:ilvl w:val="0"/>
                <w:numId w:val="6"/>
              </w:numPr>
              <w:ind w:left="420" w:hanging="420" w:firstLineChars="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Option 1: Restrict applicability of 2Rx requirements:</w:t>
            </w:r>
          </w:p>
          <w:p>
            <w:pPr>
              <w:pStyle w:val="27"/>
              <w:numPr>
                <w:ilvl w:val="0"/>
                <w:numId w:val="7"/>
              </w:numPr>
              <w:ind w:left="720" w:leftChars="0" w:hanging="360" w:firstLineChars="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Dmin and Hdiff are both no greater than 10m</w:t>
            </w:r>
          </w:p>
          <w:p>
            <w:pPr>
              <w:pStyle w:val="27"/>
              <w:numPr>
                <w:ilvl w:val="0"/>
                <w:numId w:val="7"/>
              </w:numPr>
              <w:ind w:left="720" w:leftChars="0" w:hanging="360" w:firstLineChars="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basestations can always be expected to be visible within a single beam at one of the two panels.</w:t>
            </w:r>
          </w:p>
          <w:p>
            <w:pPr>
              <w:pStyle w:val="3"/>
              <w:numPr>
                <w:ilvl w:val="0"/>
                <w:numId w:val="8"/>
              </w:numPr>
              <w:ind w:left="420" w:leftChars="0" w:hanging="420" w:firstLineChars="0"/>
              <w:rPr>
                <w:rFonts w:hint="default" w:eastAsia="宋体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Option 2: No restrictions on NW deployment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eastAsia="宋体"/>
          <w:szCs w:val="20"/>
          <w:lang w:val="en-US" w:eastAsia="zh-CN"/>
        </w:rPr>
      </w:pPr>
      <w:r>
        <w:rPr>
          <w:rFonts w:hint="default" w:eastAsia="宋体"/>
          <w:szCs w:val="20"/>
          <w:lang w:val="en-US" w:eastAsia="zh-CN"/>
        </w:rPr>
        <w:t>Firstly we believe this issue itself is meaningful. Considering the practical deployment of RRH beside the railway, the Dmin maybe within a distance scope, can not always keep 10 m or 150 m. We believe 10 m and 150 m are only typical characteristics to convient discussion. So we need to determine the practical distance scope within which the Scenario A requirement is valid, and if beyond such distance scope, only Scenario B requirement should apply. If without such specific distance scope, only depend on NW configuration implementation, maybe the RRM performance would be deteriorated. For example, for a deployment with the Dmin as 80 m, if without any applicability limitation, NW may configure the UE with Set 1 requirements, i.e. 2 RX beam assumption or Set 2 requirements, i.e. 6 RX beam assumption, just depend on NW implementation, which may lead to unstable and uncertain RRM performance.</w:t>
      </w:r>
    </w:p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default" w:eastAsia="宋体"/>
          <w:szCs w:val="20"/>
          <w:lang w:val="en-US" w:eastAsia="zh-CN"/>
        </w:rPr>
        <w:t>For Hdiff, when the railway cross the maintain area, Hdiff may fluctuate within a range, similiar issue exists as Dmin.</w:t>
      </w:r>
    </w:p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default" w:eastAsia="宋体"/>
          <w:szCs w:val="20"/>
          <w:lang w:val="en-US" w:eastAsia="zh-CN"/>
        </w:rPr>
        <w:t>So we prefer Option 1, i.e. determine the range of Dmin and Hdiff as 2 RX beam requirements’ applicability restriction. But for the detailed threshold value, we are open to discuss.</w:t>
      </w:r>
    </w:p>
    <w:p>
      <w:pPr>
        <w:pStyle w:val="3"/>
        <w:rPr>
          <w:rFonts w:hint="default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>Proposal 1: The applicability restriction of 2 Rx beam requirements is necessary. For the detailed range of Dmin and Hdiff, we are open to discuss.</w:t>
      </w:r>
    </w:p>
    <w:p>
      <w:pPr>
        <w:pStyle w:val="4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2.2 Impact of RRH position at one/both sides of rail track</w:t>
      </w:r>
      <w:r>
        <w:rPr>
          <w:rFonts w:hint="eastAsia" w:eastAsiaTheme="minorEastAsia"/>
          <w:sz w:val="28"/>
          <w:lang w:val="en-US" w:eastAsia="zh-CN"/>
        </w:rPr>
        <w:t xml:space="preserve"> for Scenario B</w:t>
      </w:r>
    </w:p>
    <w:p>
      <w:pPr>
        <w:pStyle w:val="3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It has been approved that for Scenario B, consideration of RRH positions at one/both sides of rail track doesn’t have impact on 6Rx beams agreement. But whether it is necessary and how to address scenario-B (Set 2) with two-side RRH is still open.</w:t>
      </w:r>
    </w:p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Since the RX beam number assumption keep unchanged, to address the two-side deployment, some additional solution may be needed. Two possible solution can be discussed.</w:t>
      </w:r>
    </w:p>
    <w:p>
      <w:pPr>
        <w:pStyle w:val="3"/>
        <w:numPr>
          <w:ilvl w:val="0"/>
          <w:numId w:val="8"/>
        </w:numPr>
        <w:ind w:left="420" w:leftChars="0" w:hanging="420" w:firstLineChars="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Solution 1: Introduce additional scaling factor</w:t>
      </w:r>
    </w:p>
    <w:p>
      <w:pPr>
        <w:pStyle w:val="3"/>
        <w:numPr>
          <w:ilvl w:val="0"/>
          <w:numId w:val="8"/>
        </w:numPr>
        <w:ind w:left="420" w:leftChars="0" w:hanging="420" w:firstLineChars="0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Solution 2: Indicated to UE to switch antenna panel</w:t>
      </w:r>
    </w:p>
    <w:p>
      <w:pPr>
        <w:pStyle w:val="3"/>
        <w:rPr>
          <w:rFonts w:hint="eastAsia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Solution 1, so as to double RX beam number for the case of two-side deployment, NW should notify the UE of the current single-side deployment or two-side deployment so that the UE can determine the scaling factor as 1 or 2 according to the deployment. Which will greatly improve the efficiency of the UE in measurement.</w:t>
      </w:r>
    </w:p>
    <w:p>
      <w:pPr>
        <w:pStyle w:val="3"/>
        <w:rPr>
          <w:rFonts w:hint="default"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Solution 2, as shown in Fig.1, UE need to switch the receiving panel for two-side RRH deployment, then better beam coverage can be guaranteed especially when UE is close to the serving RRH.</w:t>
      </w:r>
    </w:p>
    <w:p>
      <w:pPr>
        <w:pStyle w:val="3"/>
        <w:jc w:val="center"/>
        <w:rPr>
          <w:rFonts w:hint="eastAsia" w:eastAsiaTheme="minorEastAsia"/>
          <w:lang w:eastAsia="zh-CN"/>
        </w:rPr>
      </w:pPr>
      <w:r>
        <w:object>
          <v:shape id="_x0000_i1025" o:spt="75" type="#_x0000_t75" style="height:145.75pt;width:399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3"/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Fig.1 Two CPE panels for two sides deployment(uni-directional)</w:t>
      </w:r>
    </w:p>
    <w:p>
      <w:pPr>
        <w:pStyle w:val="3"/>
        <w:rPr>
          <w:rFonts w:hint="eastAsia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 xml:space="preserve">Proposal 2: To address the two-side RRH deployment, two possible solution should be further discussed. </w:t>
      </w:r>
    </w:p>
    <w:p>
      <w:pPr>
        <w:pStyle w:val="3"/>
        <w:numPr>
          <w:ilvl w:val="1"/>
          <w:numId w:val="8"/>
        </w:numPr>
        <w:ind w:left="840" w:leftChars="0" w:hanging="420" w:firstLineChars="0"/>
        <w:rPr>
          <w:rFonts w:hint="default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 xml:space="preserve">Solution 1: </w:t>
      </w:r>
      <w:r>
        <w:rPr>
          <w:rFonts w:hint="eastAsia" w:ascii="Times New Roman" w:hAnsi="Times New Roman" w:eastAsia="宋体" w:cs="Times New Roman"/>
          <w:b/>
          <w:bCs/>
          <w:szCs w:val="20"/>
          <w:lang w:val="en-US" w:eastAsia="zh-CN"/>
        </w:rPr>
        <w:t>Introduce additional scaling factor</w:t>
      </w:r>
    </w:p>
    <w:p>
      <w:pPr>
        <w:pStyle w:val="3"/>
        <w:numPr>
          <w:ilvl w:val="1"/>
          <w:numId w:val="8"/>
        </w:numPr>
        <w:ind w:left="840" w:leftChars="0" w:hanging="420" w:firstLineChars="0"/>
        <w:rPr>
          <w:rFonts w:hint="default" w:ascii="Times New Roman" w:hAnsi="Times New Roman" w:eastAsia="宋体" w:cs="Times New Roman"/>
          <w:b/>
          <w:bCs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0"/>
          <w:lang w:val="en-US" w:eastAsia="zh-CN"/>
        </w:rPr>
        <w:t>Solution 2: Indicated to UE to switch antenna panel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szCs w:val="20"/>
          <w:lang w:val="en-US" w:eastAsia="zh-CN"/>
        </w:rPr>
        <w:t>contribution</w:t>
      </w:r>
      <w:r>
        <w:rPr>
          <w:rFonts w:eastAsia="宋体"/>
          <w:bCs/>
          <w:szCs w:val="20"/>
          <w:lang w:val="en-GB" w:eastAsia="zh-CN"/>
        </w:rPr>
        <w:t>, we have the following proposals</w:t>
      </w:r>
      <w:r>
        <w:rPr>
          <w:rFonts w:hint="eastAsia" w:eastAsia="宋体"/>
          <w:bCs/>
          <w:szCs w:val="20"/>
          <w:lang w:val="en-GB" w:eastAsia="zh-CN"/>
        </w:rPr>
        <w:t xml:space="preserve"> </w:t>
      </w:r>
      <w:r>
        <w:rPr>
          <w:rFonts w:eastAsia="宋体"/>
          <w:bCs/>
          <w:szCs w:val="20"/>
          <w:lang w:val="en-GB" w:eastAsia="zh-CN"/>
        </w:rPr>
        <w:t xml:space="preserve">for </w:t>
      </w:r>
      <w:r>
        <w:rPr>
          <w:rFonts w:hint="eastAsia" w:eastAsia="宋体"/>
          <w:bCs/>
          <w:szCs w:val="20"/>
          <w:lang w:val="en-US" w:eastAsia="zh-CN"/>
        </w:rPr>
        <w:t>RX beam sweep number</w:t>
      </w:r>
      <w:r>
        <w:rPr>
          <w:rFonts w:eastAsia="宋体"/>
          <w:bCs/>
          <w:szCs w:val="20"/>
          <w:lang w:val="en-GB" w:eastAsia="zh-CN"/>
        </w:rPr>
        <w:t>: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GB" w:eastAsia="zh-CN"/>
        </w:rPr>
        <w:t>Proposal 1: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The applicability restriction of 2 Rx beam requirements is necessary. For the detailed range of Dmin and Hdiff, we are open to discuss.</w:t>
      </w:r>
    </w:p>
    <w:p>
      <w:pPr>
        <w:pStyle w:val="3"/>
        <w:rPr>
          <w:rFonts w:hint="eastAsia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 xml:space="preserve">Proposal 2: To address the two-side RRH deployment, two possible solution should be further discussed. </w:t>
      </w:r>
    </w:p>
    <w:p>
      <w:pPr>
        <w:pStyle w:val="3"/>
        <w:numPr>
          <w:ilvl w:val="1"/>
          <w:numId w:val="8"/>
        </w:numPr>
        <w:ind w:left="840" w:leftChars="0" w:hanging="420" w:firstLineChars="0"/>
        <w:rPr>
          <w:rFonts w:hint="default" w:eastAsia="宋体"/>
          <w:b/>
          <w:bCs/>
          <w:szCs w:val="20"/>
          <w:lang w:val="en-US" w:eastAsia="zh-CN"/>
        </w:rPr>
      </w:pPr>
      <w:r>
        <w:rPr>
          <w:rFonts w:hint="eastAsia" w:eastAsia="宋体"/>
          <w:b/>
          <w:bCs/>
          <w:szCs w:val="20"/>
          <w:lang w:val="en-US" w:eastAsia="zh-CN"/>
        </w:rPr>
        <w:t xml:space="preserve">Solution 1: </w:t>
      </w:r>
      <w:r>
        <w:rPr>
          <w:rFonts w:hint="eastAsia" w:ascii="Times New Roman" w:hAnsi="Times New Roman" w:eastAsia="宋体" w:cs="Times New Roman"/>
          <w:b/>
          <w:bCs/>
          <w:szCs w:val="20"/>
          <w:lang w:val="en-US" w:eastAsia="zh-CN"/>
        </w:rPr>
        <w:t>Introduce additional scaling factor</w:t>
      </w:r>
    </w:p>
    <w:p>
      <w:pPr>
        <w:pStyle w:val="3"/>
        <w:numPr>
          <w:ilvl w:val="1"/>
          <w:numId w:val="8"/>
        </w:numPr>
        <w:ind w:left="840" w:leftChars="0" w:hanging="420" w:firstLineChars="0"/>
        <w:rPr>
          <w:rFonts w:eastAsia="宋体"/>
          <w:b/>
          <w:bCs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0"/>
          <w:lang w:val="en-US" w:eastAsia="zh-CN"/>
        </w:rPr>
        <w:t>Solution 2: Indicated to UE to switch antenna panel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numPr>
          <w:ilvl w:val="0"/>
          <w:numId w:val="9"/>
        </w:numPr>
        <w:rPr>
          <w:lang w:val="en-US"/>
        </w:rPr>
      </w:pPr>
      <w:bookmarkStart w:id="1" w:name="OLE_LINK3"/>
      <w:r>
        <w:rPr>
          <w:rFonts w:hint="eastAsia"/>
          <w:lang w:val="en-US"/>
        </w:rPr>
        <w:t xml:space="preserve"> </w:t>
      </w:r>
      <w:bookmarkStart w:id="2" w:name="OLE_LINK1"/>
      <w:r>
        <w:rPr>
          <w:rFonts w:hint="eastAsia"/>
          <w:lang w:val="en-US"/>
        </w:rPr>
        <w:t>R4</w:t>
      </w:r>
      <w:r>
        <w:rPr>
          <w:rFonts w:hint="eastAsia"/>
          <w:highlight w:val="none"/>
          <w:lang w:val="en-US"/>
        </w:rPr>
        <w:t>-</w:t>
      </w:r>
      <w:r>
        <w:rPr>
          <w:rFonts w:hint="eastAsia"/>
          <w:highlight w:val="none"/>
          <w:lang w:val="en-US" w:eastAsia="zh-CN"/>
        </w:rPr>
        <w:t>2120292</w:t>
      </w:r>
      <w:r>
        <w:rPr>
          <w:rFonts w:hint="eastAsia"/>
          <w:lang w:val="en-US"/>
        </w:rPr>
        <w:t>,</w:t>
      </w:r>
      <w:bookmarkEnd w:id="1"/>
      <w:r>
        <w:rPr>
          <w:lang w:val="en-US"/>
        </w:rPr>
        <w:t>“</w:t>
      </w:r>
      <w:r>
        <w:rPr>
          <w:rFonts w:hint="eastAsia"/>
          <w:lang w:val="en-US" w:eastAsia="zh-CN"/>
        </w:rPr>
        <w:t>WF on FR2 HST RRM (part 1)</w:t>
      </w:r>
      <w:r>
        <w:rPr>
          <w:lang w:val="en-US"/>
        </w:rPr>
        <w:t>”</w:t>
      </w:r>
      <w:r>
        <w:rPr>
          <w:rFonts w:hint="eastAsia"/>
          <w:lang w:val="en-US"/>
        </w:rPr>
        <w:t>, RAN4#</w:t>
      </w:r>
      <w:r>
        <w:rPr>
          <w:rFonts w:hint="eastAsia"/>
          <w:lang w:val="en-US" w:eastAsia="zh-CN"/>
        </w:rPr>
        <w:t xml:space="preserve">101 </w:t>
      </w:r>
      <w:r>
        <w:rPr>
          <w:rFonts w:hint="eastAsia"/>
          <w:lang w:val="en-US"/>
        </w:rPr>
        <w:t xml:space="preserve">e-meeting, Nokia, Nokia Shanghai Bell. </w:t>
      </w:r>
    </w:p>
    <w:bookmarkEnd w:id="2"/>
    <w:p>
      <w:pPr>
        <w:pStyle w:val="9"/>
        <w:numPr>
          <w:ilvl w:val="0"/>
          <w:numId w:val="0"/>
        </w:numPr>
        <w:rPr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88E5B"/>
    <w:multiLevelType w:val="singleLevel"/>
    <w:tmpl w:val="81E88E5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801DE00"/>
    <w:multiLevelType w:val="singleLevel"/>
    <w:tmpl w:val="0801DE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372450C"/>
    <w:multiLevelType w:val="singleLevel"/>
    <w:tmpl w:val="2372450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9DACE6"/>
    <w:multiLevelType w:val="multilevel"/>
    <w:tmpl w:val="619DACE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6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8">
    <w:nsid w:val="7AB255FE"/>
    <w:multiLevelType w:val="multilevel"/>
    <w:tmpl w:val="7AB255F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E6A81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587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6ED2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8B6A1D"/>
    <w:rsid w:val="028F1C3E"/>
    <w:rsid w:val="04101F2E"/>
    <w:rsid w:val="04EF533A"/>
    <w:rsid w:val="05C42923"/>
    <w:rsid w:val="07CD3CDD"/>
    <w:rsid w:val="0855671D"/>
    <w:rsid w:val="089D2F27"/>
    <w:rsid w:val="090E2193"/>
    <w:rsid w:val="09716BCA"/>
    <w:rsid w:val="09E644B8"/>
    <w:rsid w:val="0B806C83"/>
    <w:rsid w:val="0BB0429A"/>
    <w:rsid w:val="0C403BD6"/>
    <w:rsid w:val="104E4F56"/>
    <w:rsid w:val="10807482"/>
    <w:rsid w:val="10F34738"/>
    <w:rsid w:val="11912C97"/>
    <w:rsid w:val="1481754F"/>
    <w:rsid w:val="148F5721"/>
    <w:rsid w:val="14AC57CD"/>
    <w:rsid w:val="154B4EDA"/>
    <w:rsid w:val="164514BE"/>
    <w:rsid w:val="170F06AA"/>
    <w:rsid w:val="175E71BE"/>
    <w:rsid w:val="180A6E32"/>
    <w:rsid w:val="183F2CD2"/>
    <w:rsid w:val="18CD0507"/>
    <w:rsid w:val="1AD01A1B"/>
    <w:rsid w:val="1C177B08"/>
    <w:rsid w:val="1C9001C6"/>
    <w:rsid w:val="1CBA2101"/>
    <w:rsid w:val="1D0573D7"/>
    <w:rsid w:val="1D153DC4"/>
    <w:rsid w:val="1D223E0B"/>
    <w:rsid w:val="1E853F6F"/>
    <w:rsid w:val="1ECC1E3C"/>
    <w:rsid w:val="1EFA4EC6"/>
    <w:rsid w:val="1FD40FD5"/>
    <w:rsid w:val="1FD4390A"/>
    <w:rsid w:val="21244EB1"/>
    <w:rsid w:val="21F13629"/>
    <w:rsid w:val="232D3E03"/>
    <w:rsid w:val="233E6752"/>
    <w:rsid w:val="24122135"/>
    <w:rsid w:val="263077B3"/>
    <w:rsid w:val="26BB1419"/>
    <w:rsid w:val="2A7E505C"/>
    <w:rsid w:val="2BC05B2C"/>
    <w:rsid w:val="2BD617C5"/>
    <w:rsid w:val="2C112837"/>
    <w:rsid w:val="2C8F77DD"/>
    <w:rsid w:val="2F2F0FC8"/>
    <w:rsid w:val="2F626282"/>
    <w:rsid w:val="301C6BB6"/>
    <w:rsid w:val="303D2CE7"/>
    <w:rsid w:val="30BE45B7"/>
    <w:rsid w:val="31B14C9E"/>
    <w:rsid w:val="32042A1D"/>
    <w:rsid w:val="320820D4"/>
    <w:rsid w:val="35B06C6A"/>
    <w:rsid w:val="362D084C"/>
    <w:rsid w:val="36D37423"/>
    <w:rsid w:val="374346E3"/>
    <w:rsid w:val="3A185287"/>
    <w:rsid w:val="3A692CD0"/>
    <w:rsid w:val="3B673620"/>
    <w:rsid w:val="3B9A1F29"/>
    <w:rsid w:val="3CE4646B"/>
    <w:rsid w:val="3D5E7AA8"/>
    <w:rsid w:val="3D6F2596"/>
    <w:rsid w:val="3F5871F1"/>
    <w:rsid w:val="3FF22ECF"/>
    <w:rsid w:val="405F175E"/>
    <w:rsid w:val="40C765F3"/>
    <w:rsid w:val="42F869D2"/>
    <w:rsid w:val="43553536"/>
    <w:rsid w:val="43D4451F"/>
    <w:rsid w:val="44223E71"/>
    <w:rsid w:val="451632B9"/>
    <w:rsid w:val="455E2C0D"/>
    <w:rsid w:val="45F60A50"/>
    <w:rsid w:val="46B036BF"/>
    <w:rsid w:val="47282363"/>
    <w:rsid w:val="48A67706"/>
    <w:rsid w:val="48E67C46"/>
    <w:rsid w:val="49E55BC5"/>
    <w:rsid w:val="49EA4E62"/>
    <w:rsid w:val="4C1B4559"/>
    <w:rsid w:val="4C1C63D6"/>
    <w:rsid w:val="4C864A35"/>
    <w:rsid w:val="4E015C76"/>
    <w:rsid w:val="4E4A2325"/>
    <w:rsid w:val="4E5A42F3"/>
    <w:rsid w:val="501A6C55"/>
    <w:rsid w:val="50A30C75"/>
    <w:rsid w:val="51B14BED"/>
    <w:rsid w:val="525C1CEF"/>
    <w:rsid w:val="52AB46D1"/>
    <w:rsid w:val="53250372"/>
    <w:rsid w:val="53C64B93"/>
    <w:rsid w:val="55B1164D"/>
    <w:rsid w:val="55B4735E"/>
    <w:rsid w:val="56371459"/>
    <w:rsid w:val="56D60B23"/>
    <w:rsid w:val="57867D36"/>
    <w:rsid w:val="59DA647E"/>
    <w:rsid w:val="5A556E1A"/>
    <w:rsid w:val="5BCC290A"/>
    <w:rsid w:val="5C824EF7"/>
    <w:rsid w:val="5EB44FC0"/>
    <w:rsid w:val="5F3E6FF4"/>
    <w:rsid w:val="5FA35B76"/>
    <w:rsid w:val="5FBA395F"/>
    <w:rsid w:val="612A24DF"/>
    <w:rsid w:val="619820E3"/>
    <w:rsid w:val="61FF0B04"/>
    <w:rsid w:val="635902CD"/>
    <w:rsid w:val="638E4038"/>
    <w:rsid w:val="64403A3D"/>
    <w:rsid w:val="64706BBE"/>
    <w:rsid w:val="64F2095B"/>
    <w:rsid w:val="67A858DB"/>
    <w:rsid w:val="693E3147"/>
    <w:rsid w:val="69A833BD"/>
    <w:rsid w:val="6BBE44CB"/>
    <w:rsid w:val="6C4C2C3E"/>
    <w:rsid w:val="6DDE3DAF"/>
    <w:rsid w:val="6EB1140C"/>
    <w:rsid w:val="6F14354A"/>
    <w:rsid w:val="715F4C2D"/>
    <w:rsid w:val="72BF60CA"/>
    <w:rsid w:val="73E510B7"/>
    <w:rsid w:val="753811DE"/>
    <w:rsid w:val="75BE67D4"/>
    <w:rsid w:val="75C759C1"/>
    <w:rsid w:val="75E82F2F"/>
    <w:rsid w:val="762D64F3"/>
    <w:rsid w:val="76974FD8"/>
    <w:rsid w:val="76FF73F3"/>
    <w:rsid w:val="775B4604"/>
    <w:rsid w:val="77613E66"/>
    <w:rsid w:val="77C067C3"/>
    <w:rsid w:val="77C075F6"/>
    <w:rsid w:val="78911E31"/>
    <w:rsid w:val="79753AA2"/>
    <w:rsid w:val="79FC70AB"/>
    <w:rsid w:val="7A9367CB"/>
    <w:rsid w:val="7AF22571"/>
    <w:rsid w:val="7B09447C"/>
    <w:rsid w:val="7C1C35A7"/>
    <w:rsid w:val="7C45431D"/>
    <w:rsid w:val="7DDD0501"/>
    <w:rsid w:val="7E935AFB"/>
    <w:rsid w:val="7FC90A85"/>
    <w:rsid w:val="7FD028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10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jc w:val="center"/>
    </w:pPr>
    <w:rPr>
      <w:lang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列出段落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1">
    <w:name w:val="TAN"/>
    <w:basedOn w:val="34"/>
    <w:qFormat/>
    <w:uiPriority w:val="0"/>
    <w:pPr>
      <w:ind w:left="851" w:hanging="851"/>
    </w:pPr>
  </w:style>
  <w:style w:type="paragraph" w:customStyle="1" w:styleId="52">
    <w:name w:val="B2"/>
    <w:basedOn w:val="9"/>
    <w:qFormat/>
    <w:uiPriority w:val="0"/>
  </w:style>
  <w:style w:type="paragraph" w:customStyle="1" w:styleId="53">
    <w:name w:val="B3"/>
    <w:basedOn w:val="1"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1129</Words>
  <Characters>6439</Characters>
  <Lines>53</Lines>
  <Paragraphs>15</Paragraphs>
  <TotalTime>1</TotalTime>
  <ScaleCrop>false</ScaleCrop>
  <LinksUpToDate>false</LinksUpToDate>
  <CharactersWithSpaces>7553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2022-01-10T02:25:12Z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